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0A0E1A"/>
            <w:tcMar>
              <w:top w:w="210" w:type="dxa"/>
              <w:bottom w:w="210" w:type="dxa"/>
              <w:left w:w="250" w:type="dxa"/>
              <w:right w:w="250" w:type="dxa"/>
            </w:tcMar>
          </w:tcPr>
          <w:p>
            <w:pPr>
              <w:spacing w:after="160"/>
            </w:pPr>
            <w:r>
              <w:rPr>
                <w:rFonts w:ascii="Inter" w:hAnsi="Inter"/>
                <w:b/>
                <w:color w:val="A5B4FC"/>
                <w:sz w:val="16"/>
              </w:rPr>
              <w:t>РАБОЧИЙ ШАБЛОН · ЗАПОЛНЯТЬ ПОДТВЕРЖДЁННЫМИ ДАННЫМИ</w:t>
            </w:r>
          </w:p>
          <w:p>
            <w:pPr>
              <w:spacing w:after="140" w:line="240" w:lineRule="auto"/>
            </w:pPr>
            <w:r>
              <w:rPr>
                <w:rFonts w:ascii="Inter" w:hAnsi="Inter"/>
                <w:b/>
                <w:color w:val="FFFFFF"/>
                <w:sz w:val="46"/>
              </w:rPr>
              <w:t>ИТ: картина для руководства</w:t>
            </w:r>
          </w:p>
          <w:p>
            <w:pPr>
              <w:spacing w:after="0"/>
            </w:pPr>
            <w:r>
              <w:rPr>
                <w:rFonts w:ascii="Inter" w:hAnsi="Inter"/>
                <w:b w:val="0"/>
                <w:color w:val="D8DFEB"/>
                <w:sz w:val="18"/>
              </w:rPr>
              <w:t>Компания: [название] · Период: [месяц / год] · Дата: [дата]</w:t>
            </w:r>
          </w:p>
        </w:tc>
      </w:tr>
    </w:tbl>
    <w:p>
      <w:pPr>
        <w:keepNext w:val="0"/>
        <w:spacing w:before="0" w:after="60" w:line="264" w:lineRule="auto"/>
      </w:pPr>
      <w:r>
        <w:rPr>
          <w:rFonts w:ascii="Inter" w:hAnsi="Inter"/>
          <w:b w:val="0"/>
          <w:color w:val="0A0E1A"/>
          <w:sz w:val="2"/>
        </w:rPr>
      </w:r>
    </w:p>
    <w:p>
      <w:pPr>
        <w:keepNext w:val="0"/>
        <w:spacing w:before="0" w:after="140" w:line="264" w:lineRule="auto"/>
      </w:pPr>
      <w:r>
        <w:rPr>
          <w:rFonts w:ascii="Inter" w:hAnsi="Inter"/>
          <w:b w:val="0"/>
          <w:color w:val="0A0E1A"/>
          <w:sz w:val="18"/>
        </w:rPr>
        <w:t>Подготовил: [ФИО, роль] · Заказчик: [роль]</w:t>
        <w:br/>
        <w:t>Область: [площадки и системы] · Качество данных: [проверено / неполно / оценка]</w:t>
      </w:r>
    </w:p>
    <w:p>
      <w:pPr>
        <w:keepNext/>
        <w:spacing w:before="140" w:after="100" w:line="264" w:lineRule="auto"/>
      </w:pPr>
      <w:r>
        <w:rPr>
          <w:rFonts w:ascii="Inter" w:hAnsi="Inter"/>
          <w:b/>
          <w:color w:val="0A0E1A"/>
          <w:sz w:val="22"/>
        </w:rPr>
        <w:t>01  Три управленческих вывода</w:t>
      </w:r>
    </w:p>
    <w:p>
      <w:pPr>
        <w:keepNext w:val="0"/>
        <w:spacing w:before="0" w:after="180" w:line="264" w:lineRule="auto"/>
      </w:pPr>
      <w:r>
        <w:rPr>
          <w:rFonts w:ascii="Inter" w:hAnsi="Inter"/>
          <w:b w:val="0"/>
          <w:color w:val="0A0E1A"/>
          <w:sz w:val="19"/>
        </w:rPr>
        <w:t>Что изменилось: [наблюдение → влияние на бизнес].</w:t>
      </w:r>
    </w:p>
    <w:p>
      <w:pPr>
        <w:keepNext w:val="0"/>
        <w:spacing w:before="0" w:after="180" w:line="264" w:lineRule="auto"/>
      </w:pPr>
      <w:r>
        <w:rPr>
          <w:rFonts w:ascii="Inter" w:hAnsi="Inter"/>
          <w:b w:val="0"/>
          <w:color w:val="0A0E1A"/>
          <w:sz w:val="19"/>
        </w:rPr>
        <w:t>Главный риск: [последствие → владелец → действие].</w:t>
      </w:r>
    </w:p>
    <w:p>
      <w:pPr>
        <w:keepNext w:val="0"/>
        <w:spacing w:before="0" w:after="180" w:line="264" w:lineRule="auto"/>
      </w:pPr>
      <w:r>
        <w:rPr>
          <w:rFonts w:ascii="Inter" w:hAnsi="Inter"/>
          <w:b w:val="0"/>
          <w:color w:val="0A0E1A"/>
          <w:sz w:val="19"/>
        </w:rPr>
        <w:t>Какое решение нужно: [варианты → рекомендация → срок].</w:t>
      </w:r>
    </w:p>
    <w:p>
      <w:pPr>
        <w:keepNext/>
        <w:spacing w:before="140" w:after="100" w:line="264" w:lineRule="auto"/>
      </w:pPr>
      <w:r>
        <w:rPr>
          <w:rFonts w:ascii="Inter" w:hAnsi="Inter"/>
          <w:b/>
          <w:color w:val="0A0E1A"/>
          <w:sz w:val="22"/>
        </w:rPr>
        <w:t>02  Бюджет и прогноз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417"/>
        <w:gridCol w:w="1417"/>
        <w:gridCol w:w="1701"/>
        <w:gridCol w:w="2041"/>
      </w:tblGrid>
      <w:tr>
        <w:trPr>
          <w:tblHeader/>
        </w:trPr>
        <w:tc>
          <w:tcPr>
            <w:tcW w:type="dxa" w:w="3402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Статья</w:t>
            </w:r>
          </w:p>
        </w:tc>
        <w:tc>
          <w:tcPr>
            <w:tcW w:type="dxa" w:w="1417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План</w:t>
            </w:r>
          </w:p>
        </w:tc>
        <w:tc>
          <w:tcPr>
            <w:tcW w:type="dxa" w:w="1417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Факт</w:t>
            </w:r>
          </w:p>
        </w:tc>
        <w:tc>
          <w:tcPr>
            <w:tcW w:type="dxa" w:w="1701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Отклонение</w:t>
            </w:r>
          </w:p>
        </w:tc>
        <w:tc>
          <w:tcPr>
            <w:tcW w:type="dxa" w:w="2041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Прогноз года</w:t>
            </w:r>
          </w:p>
        </w:tc>
      </w:tr>
      <w:tr>
        <w:trPr>
          <w:cantSplit/>
        </w:trPr>
        <w:tc>
          <w:tcPr>
            <w:tcW w:type="dxa" w:w="3402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Поддержка</w:t>
            </w:r>
          </w:p>
        </w:tc>
        <w:tc>
          <w:tcPr>
            <w:tcW w:type="dxa" w:w="1417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417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70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04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402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Лицензии и сервисы</w:t>
            </w:r>
          </w:p>
        </w:tc>
        <w:tc>
          <w:tcPr>
            <w:tcW w:type="dxa" w:w="1417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417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70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04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402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Изменения и проекты</w:t>
            </w:r>
          </w:p>
        </w:tc>
        <w:tc>
          <w:tcPr>
            <w:tcW w:type="dxa" w:w="1417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417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70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04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402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Итого</w:t>
            </w:r>
          </w:p>
        </w:tc>
        <w:tc>
          <w:tcPr>
            <w:tcW w:type="dxa" w:w="1417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417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70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04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</w:tbl>
    <w:p>
      <w:pPr>
        <w:keepNext w:val="0"/>
        <w:spacing w:before="0" w:after="20" w:line="264" w:lineRule="auto"/>
      </w:pPr>
      <w:r>
        <w:rPr>
          <w:rFonts w:ascii="Inter" w:hAnsi="Inter"/>
          <w:b w:val="0"/>
          <w:color w:val="0A0E1A"/>
          <w:sz w:val="2"/>
        </w:rPr>
      </w:r>
    </w:p>
    <w:p>
      <w:pPr>
        <w:keepNext w:val="0"/>
        <w:spacing w:before="0" w:after="140" w:line="264" w:lineRule="auto"/>
      </w:pPr>
      <w:r>
        <w:rPr>
          <w:rFonts w:ascii="Inter" w:hAnsi="Inter"/>
          <w:b w:val="0"/>
          <w:color w:val="475569"/>
          <w:sz w:val="17"/>
        </w:rPr>
        <w:t>Валюта / единицы: [ ] · НДС-база: [ ] · Источник / дата: [ ]</w:t>
        <w:br/>
        <w:t>Отклонение = факт − план. % = отклонение / план; при плане 0 — «не применимо». Прогноз года сравнивается с планом года, не с планом месяца.</w:t>
      </w:r>
    </w:p>
    <w:p>
      <w:pPr>
        <w:keepNext/>
        <w:spacing w:before="140" w:after="100" w:line="264" w:lineRule="auto"/>
      </w:pPr>
      <w:r>
        <w:rPr>
          <w:rFonts w:ascii="Inter" w:hAnsi="Inter"/>
          <w:b/>
          <w:color w:val="0A0E1A"/>
          <w:sz w:val="22"/>
        </w:rPr>
        <w:t>03  Портфель изменений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2438"/>
        <w:gridCol w:w="2041"/>
        <w:gridCol w:w="2891"/>
      </w:tblGrid>
      <w:tr>
        <w:trPr>
          <w:tblHeader/>
        </w:trPr>
        <w:tc>
          <w:tcPr>
            <w:tcW w:type="dxa" w:w="2608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Инициатива</w:t>
            </w:r>
          </w:p>
        </w:tc>
        <w:tc>
          <w:tcPr>
            <w:tcW w:type="dxa" w:w="2438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Бизнес-владелец</w:t>
            </w:r>
          </w:p>
        </w:tc>
        <w:tc>
          <w:tcPr>
            <w:tcW w:type="dxa" w:w="2041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Статус словами</w:t>
            </w:r>
          </w:p>
        </w:tc>
        <w:tc>
          <w:tcPr>
            <w:tcW w:type="dxa" w:w="2891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Следующий шаг / срок</w:t>
            </w:r>
          </w:p>
        </w:tc>
      </w:tr>
      <w:tr>
        <w:trPr>
          <w:cantSplit/>
        </w:trPr>
        <w:tc>
          <w:tcPr>
            <w:tcW w:type="dxa" w:w="260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43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04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89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60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43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04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89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60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43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04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89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</w:tbl>
    <w:p>
      <w:pPr>
        <w:keepNext w:val="0"/>
        <w:spacing w:before="0" w:after="20" w:line="264" w:lineRule="auto"/>
      </w:pPr>
      <w:r>
        <w:rPr>
          <w:rFonts w:ascii="Inter" w:hAnsi="Inter"/>
          <w:b w:val="0"/>
          <w:color w:val="0A0E1A"/>
          <w:sz w:val="2"/>
        </w:rPr>
      </w:r>
    </w:p>
    <w:p>
      <w:pPr>
        <w:keepNext/>
        <w:spacing w:before="140" w:after="100" w:line="264" w:lineRule="auto"/>
      </w:pPr>
      <w:r>
        <w:rPr>
          <w:rFonts w:ascii="Inter" w:hAnsi="Inter"/>
          <w:b/>
          <w:color w:val="0A0E1A"/>
          <w:sz w:val="22"/>
        </w:rPr>
        <w:t>04  Критические сервисы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2891"/>
        <w:gridCol w:w="2438"/>
        <w:gridCol w:w="2494"/>
      </w:tblGrid>
      <w:tr>
        <w:trPr>
          <w:tblHeader/>
        </w:trPr>
        <w:tc>
          <w:tcPr>
            <w:tcW w:type="dxa" w:w="2154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Сервис</w:t>
            </w:r>
          </w:p>
        </w:tc>
        <w:tc>
          <w:tcPr>
            <w:tcW w:type="dxa" w:w="2891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Метрика / инциденты</w:t>
            </w:r>
          </w:p>
        </w:tc>
        <w:tc>
          <w:tcPr>
            <w:tcW w:type="dxa" w:w="2438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Источник и период</w:t>
            </w:r>
          </w:p>
        </w:tc>
        <w:tc>
          <w:tcPr>
            <w:tcW w:type="dxa" w:w="2494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Открытое действие</w:t>
            </w:r>
          </w:p>
        </w:tc>
      </w:tr>
      <w:tr>
        <w:trPr>
          <w:cantSplit/>
        </w:trPr>
        <w:tc>
          <w:tcPr>
            <w:tcW w:type="dxa" w:w="215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89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43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49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15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89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43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49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</w:tbl>
    <w:p>
      <w:pPr>
        <w:keepNext w:val="0"/>
        <w:spacing w:before="0" w:after="20" w:line="264" w:lineRule="auto"/>
      </w:pPr>
      <w:r>
        <w:rPr>
          <w:rFonts w:ascii="Inter" w:hAnsi="Inter"/>
          <w:b w:val="0"/>
          <w:color w:val="0A0E1A"/>
          <w:sz w:val="2"/>
        </w:rPr>
      </w:r>
    </w:p>
    <w:p>
      <w:pPr>
        <w:keepNext w:val="0"/>
        <w:spacing w:before="0" w:after="0" w:line="264" w:lineRule="auto"/>
      </w:pPr>
      <w:r>
        <w:rPr>
          <w:rFonts w:ascii="Inter" w:hAnsi="Inter"/>
          <w:b w:val="0"/>
          <w:color w:val="475569"/>
          <w:sz w:val="17"/>
        </w:rPr>
        <w:t>Нет измерений → «нет достаточных данных», а не «100% доступность». До расчёта фиксируются окно наблюдения и исключения.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0A0E1A"/>
            <w:tcMar>
              <w:top w:w="210" w:type="dxa"/>
              <w:bottom w:w="210" w:type="dxa"/>
              <w:left w:w="250" w:type="dxa"/>
              <w:right w:w="250" w:type="dxa"/>
            </w:tcMar>
          </w:tcPr>
          <w:p>
            <w:pPr>
              <w:spacing w:after="160"/>
            </w:pPr>
            <w:r>
              <w:rPr>
                <w:rFonts w:ascii="Inter" w:hAnsi="Inter"/>
                <w:b/>
                <w:color w:val="A5B4FC"/>
                <w:sz w:val="16"/>
              </w:rPr>
              <w:t>РАБОЧИЙ ШАБЛОН</w:t>
            </w:r>
          </w:p>
          <w:p>
            <w:pPr>
              <w:spacing w:after="140" w:line="240" w:lineRule="auto"/>
            </w:pPr>
            <w:r>
              <w:rPr>
                <w:rFonts w:ascii="Inter" w:hAnsi="Inter"/>
                <w:b/>
                <w:color w:val="FFFFFF"/>
                <w:sz w:val="46"/>
              </w:rPr>
              <w:t>Решения и следующие действия</w:t>
            </w:r>
          </w:p>
          <w:p>
            <w:pPr>
              <w:spacing w:after="0"/>
            </w:pPr>
            <w:r>
              <w:rPr>
                <w:rFonts w:ascii="Inter" w:hAnsi="Inter"/>
                <w:b w:val="0"/>
                <w:color w:val="D8DFEB"/>
                <w:sz w:val="18"/>
              </w:rPr>
              <w:t>Компания: [название] · Период: [месяц / год]</w:t>
            </w:r>
          </w:p>
        </w:tc>
      </w:tr>
    </w:tbl>
    <w:p>
      <w:pPr>
        <w:keepNext w:val="0"/>
        <w:spacing w:before="0" w:after="60" w:line="264" w:lineRule="auto"/>
      </w:pPr>
      <w:r>
        <w:rPr>
          <w:rFonts w:ascii="Inter" w:hAnsi="Inter"/>
          <w:b w:val="0"/>
          <w:color w:val="0A0E1A"/>
          <w:sz w:val="2"/>
        </w:rPr>
      </w:r>
    </w:p>
    <w:p>
      <w:pPr>
        <w:keepNext/>
        <w:spacing w:before="140" w:after="100" w:line="264" w:lineRule="auto"/>
      </w:pPr>
      <w:r>
        <w:rPr>
          <w:rFonts w:ascii="Inter" w:hAnsi="Inter"/>
          <w:b/>
          <w:color w:val="0A0E1A"/>
          <w:sz w:val="22"/>
        </w:rPr>
        <w:t>05  Риски и подрядчики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2608"/>
        <w:gridCol w:w="1984"/>
        <w:gridCol w:w="2608"/>
      </w:tblGrid>
      <w:tr>
        <w:trPr>
          <w:tblHeader/>
        </w:trPr>
        <w:tc>
          <w:tcPr>
            <w:tcW w:type="dxa" w:w="2778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Риск / зависимость</w:t>
            </w:r>
          </w:p>
        </w:tc>
        <w:tc>
          <w:tcPr>
            <w:tcW w:type="dxa" w:w="2608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Последствие</w:t>
            </w:r>
          </w:p>
        </w:tc>
        <w:tc>
          <w:tcPr>
            <w:tcW w:type="dxa" w:w="1984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Владелец</w:t>
            </w:r>
          </w:p>
        </w:tc>
        <w:tc>
          <w:tcPr>
            <w:tcW w:type="dxa" w:w="2608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Мера / срок</w:t>
            </w:r>
          </w:p>
        </w:tc>
      </w:tr>
      <w:tr>
        <w:trPr>
          <w:cantSplit/>
        </w:trPr>
        <w:tc>
          <w:tcPr>
            <w:tcW w:type="dxa" w:w="277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60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98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60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77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60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98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60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277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60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98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60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</w:tbl>
    <w:p>
      <w:pPr>
        <w:keepNext w:val="0"/>
        <w:spacing w:before="0" w:after="20" w:line="264" w:lineRule="auto"/>
      </w:pPr>
      <w:r>
        <w:rPr>
          <w:rFonts w:ascii="Inter" w:hAnsi="Inter"/>
          <w:b w:val="0"/>
          <w:color w:val="0A0E1A"/>
          <w:sz w:val="2"/>
        </w:rPr>
      </w:r>
    </w:p>
    <w:p>
      <w:pPr>
        <w:keepNext w:val="0"/>
        <w:spacing w:before="40" w:after="160" w:line="264" w:lineRule="auto"/>
      </w:pPr>
      <w:r>
        <w:rPr>
          <w:rFonts w:ascii="Inter" w:hAnsi="Inter"/>
          <w:b w:val="0"/>
          <w:color w:val="475569"/>
          <w:sz w:val="17"/>
        </w:rPr>
        <w:t>Ключевые подрядчики: [нарушения / предстоящие решения / продления договоров]. Отделять подтверждённые факты от неизвестного; не включать секреты и полные сведения об уязвимостях.</w:t>
      </w:r>
    </w:p>
    <w:p>
      <w:pPr>
        <w:keepNext/>
        <w:spacing w:before="140" w:after="100" w:line="264" w:lineRule="auto"/>
      </w:pPr>
      <w:r>
        <w:rPr>
          <w:rFonts w:ascii="Inter" w:hAnsi="Inter"/>
          <w:b/>
          <w:color w:val="0A0E1A"/>
          <w:sz w:val="22"/>
        </w:rPr>
        <w:t>06  Решения руководства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3798"/>
        <w:gridCol w:w="2551"/>
        <w:gridCol w:w="2665"/>
      </w:tblGrid>
      <w:tr>
        <w:trPr>
          <w:tblHeader/>
        </w:trPr>
        <w:tc>
          <w:tcPr>
            <w:tcW w:type="dxa" w:w="964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ID</w:t>
            </w:r>
          </w:p>
        </w:tc>
        <w:tc>
          <w:tcPr>
            <w:tcW w:type="dxa" w:w="3798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Решение / рекомендация</w:t>
            </w:r>
          </w:p>
        </w:tc>
        <w:tc>
          <w:tcPr>
            <w:tcW w:type="dxa" w:w="2551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Бюджет / влияние</w:t>
            </w:r>
          </w:p>
        </w:tc>
        <w:tc>
          <w:tcPr>
            <w:tcW w:type="dxa" w:w="2665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Утверждающий / срок</w:t>
            </w:r>
          </w:p>
        </w:tc>
      </w:tr>
      <w:tr>
        <w:trPr>
          <w:cantSplit/>
        </w:trPr>
        <w:tc>
          <w:tcPr>
            <w:tcW w:type="dxa" w:w="96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D-01</w:t>
            </w:r>
          </w:p>
        </w:tc>
        <w:tc>
          <w:tcPr>
            <w:tcW w:type="dxa" w:w="379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55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665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D-02</w:t>
            </w:r>
          </w:p>
        </w:tc>
        <w:tc>
          <w:tcPr>
            <w:tcW w:type="dxa" w:w="379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55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665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D-03</w:t>
            </w:r>
          </w:p>
        </w:tc>
        <w:tc>
          <w:tcPr>
            <w:tcW w:type="dxa" w:w="379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55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665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</w:tbl>
    <w:p>
      <w:pPr>
        <w:keepNext w:val="0"/>
        <w:spacing w:before="0" w:after="20" w:line="264" w:lineRule="auto"/>
      </w:pPr>
      <w:r>
        <w:rPr>
          <w:rFonts w:ascii="Inter" w:hAnsi="Inter"/>
          <w:b w:val="0"/>
          <w:color w:val="0A0E1A"/>
          <w:sz w:val="2"/>
        </w:rPr>
      </w:r>
    </w:p>
    <w:p>
      <w:pPr>
        <w:keepNext/>
        <w:spacing w:before="140" w:after="100" w:line="264" w:lineRule="auto"/>
      </w:pPr>
      <w:r>
        <w:rPr>
          <w:rFonts w:ascii="Inter" w:hAnsi="Inter"/>
          <w:b/>
          <w:color w:val="0A0E1A"/>
          <w:sz w:val="22"/>
        </w:rPr>
        <w:t>07  План следующего месяца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2098"/>
        <w:gridCol w:w="1304"/>
        <w:gridCol w:w="3515"/>
      </w:tblGrid>
      <w:tr>
        <w:trPr>
          <w:tblHeader/>
        </w:trPr>
        <w:tc>
          <w:tcPr>
            <w:tcW w:type="dxa" w:w="3061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Ожидаемый результат</w:t>
            </w:r>
          </w:p>
        </w:tc>
        <w:tc>
          <w:tcPr>
            <w:tcW w:type="dxa" w:w="2098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Ответственный</w:t>
            </w:r>
          </w:p>
        </w:tc>
        <w:tc>
          <w:tcPr>
            <w:tcW w:type="dxa" w:w="1304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Срок</w:t>
            </w:r>
          </w:p>
        </w:tc>
        <w:tc>
          <w:tcPr>
            <w:tcW w:type="dxa" w:w="3515"/>
            <w:shd w:fill="0A0E1A"/>
            <w:tcMar>
              <w:top w:w="105" w:type="dxa"/>
              <w:bottom w:w="105" w:type="dxa"/>
              <w:left w:w="140" w:type="dxa"/>
              <w:right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7"/>
              </w:rPr>
              <w:t>Критерий готовности</w:t>
            </w:r>
          </w:p>
        </w:tc>
      </w:tr>
      <w:tr>
        <w:trPr>
          <w:cantSplit/>
        </w:trPr>
        <w:tc>
          <w:tcPr>
            <w:tcW w:type="dxa" w:w="306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09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30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3515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06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09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30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3515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06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09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30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3515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3F4F8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061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2098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1304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  <w:tc>
          <w:tcPr>
            <w:tcW w:type="dxa" w:w="3515"/>
            <w:tcMar>
              <w:top w:w="105" w:type="dxa"/>
              <w:bottom w:w="105" w:type="dxa"/>
              <w:left w:w="140" w:type="dxa"/>
              <w:right w:w="140" w:type="dxa"/>
            </w:tcMar>
            <w:vAlign w:val="top"/>
            <w:shd w:fill="FAFAFC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A0E1A"/>
                <w:sz w:val="18"/>
              </w:rPr>
              <w:t>[ ]</w:t>
            </w:r>
          </w:p>
        </w:tc>
      </w:tr>
    </w:tbl>
    <w:p>
      <w:pPr>
        <w:keepNext w:val="0"/>
        <w:spacing w:before="0" w:after="20" w:line="264" w:lineRule="auto"/>
      </w:pPr>
      <w:r>
        <w:rPr>
          <w:rFonts w:ascii="Inter" w:hAnsi="Inter"/>
          <w:b w:val="0"/>
          <w:color w:val="0A0E1A"/>
          <w:sz w:val="2"/>
        </w:rPr>
      </w:r>
    </w:p>
    <w:p>
      <w:pPr>
        <w:keepNext/>
        <w:spacing w:before="140" w:after="100" w:line="264" w:lineRule="auto"/>
      </w:pPr>
      <w:r>
        <w:rPr>
          <w:rFonts w:ascii="Inter" w:hAnsi="Inter"/>
          <w:b/>
          <w:color w:val="0A0E1A"/>
          <w:sz w:val="22"/>
        </w:rPr>
        <w:t>08  Итог управленческой встречи</w:t>
      </w:r>
    </w:p>
    <w:p>
      <w:pPr>
        <w:keepNext w:val="0"/>
        <w:spacing w:before="0" w:after="200" w:line="264" w:lineRule="auto"/>
      </w:pPr>
      <w:r>
        <w:rPr>
          <w:rFonts w:ascii="Inter" w:hAnsi="Inter"/>
          <w:b w:val="0"/>
          <w:color w:val="0A0E1A"/>
          <w:sz w:val="18"/>
        </w:rPr>
        <w:t>Принятые решения и ответственные: [ ].</w:t>
      </w:r>
    </w:p>
    <w:p>
      <w:pPr>
        <w:keepNext w:val="0"/>
        <w:spacing w:before="0" w:after="200" w:line="264" w:lineRule="auto"/>
      </w:pPr>
      <w:r>
        <w:rPr>
          <w:rFonts w:ascii="Inter" w:hAnsi="Inter"/>
          <w:b w:val="0"/>
          <w:color w:val="0A0E1A"/>
          <w:sz w:val="18"/>
        </w:rPr>
        <w:t>Изменённые допущения / принятый остаточный риск: [ ].</w:t>
      </w:r>
    </w:p>
    <w:p>
      <w:pPr>
        <w:keepNext w:val="0"/>
        <w:spacing w:before="0" w:after="200" w:line="264" w:lineRule="auto"/>
      </w:pPr>
      <w:r>
        <w:rPr>
          <w:rFonts w:ascii="Inter" w:hAnsi="Inter"/>
          <w:b w:val="0"/>
          <w:color w:val="0A0E1A"/>
          <w:sz w:val="18"/>
        </w:rPr>
        <w:t>Следующий обзор: [дата]. Ссылка на полный реестр решений: [ ].</w:t>
      </w:r>
    </w:p>
    <w:p>
      <w:pPr>
        <w:keepNext w:val="0"/>
        <w:spacing w:before="60" w:after="0" w:line="264" w:lineRule="auto"/>
      </w:pPr>
      <w:r>
        <w:rPr>
          <w:rFonts w:ascii="Inter" w:hAnsi="Inter"/>
          <w:b w:val="0"/>
          <w:color w:val="475569"/>
          <w:sz w:val="17"/>
        </w:rPr>
        <w:t>При росте объёма переносите подробности в связанные реестры, сохраняя в отчёте только существенные выводы и решения. Шаблон — рабочая форма, не нормативный стандарт.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64" w:bottom="907" w:left="96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hyperlink r:id="rId1">
      <w:r>
        <w:rPr>
          <w:color w:val="4F46E5"/>
          <w:sz w:val="17"/>
        </w:rPr>
        <w:t>pozdnyakov.io</w:t>
      </w:r>
    </w:hyperlink>
    <w:r>
      <w:rPr>
        <w:rFonts w:ascii="Inter" w:hAnsi="Inter"/>
        <w:b w:val="0"/>
        <w:color w:val="475569"/>
        <w:sz w:val="16"/>
      </w:rPr>
      <w:t xml:space="preserve">   ·   </w:t>
    </w:r>
    <w:hyperlink r:id="rId2">
      <w:r>
        <w:rPr>
          <w:color w:val="4F46E5"/>
          <w:sz w:val="17"/>
        </w:rPr>
        <w:t>sergey@pozdnyakov.io</w:t>
      </w:r>
    </w:hyperlink>
    <w:r>
      <w:rPr>
        <w:rFonts w:ascii="Inter" w:hAnsi="Inter"/>
        <w:b w:val="0"/>
        <w:color w:val="0A0E1A"/>
        <w:sz w:val="16"/>
      </w:rPr>
      <w:t xml:space="preserve">    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Inter" w:hAnsi="Inter"/>
        <w:b/>
        <w:color w:val="4F46E5"/>
        <w:sz w:val="16"/>
      </w:rPr>
      <w:t>POZDNYAKOV.IO</w:t>
    </w:r>
    <w:r>
      <w:rPr>
        <w:rFonts w:ascii="Inter" w:hAnsi="Inter"/>
        <w:b/>
        <w:color w:val="475569"/>
        <w:sz w:val="15"/>
      </w:rPr>
      <w:t xml:space="preserve">   /   РАБОЧИЙ ШАБЛОН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Inter" w:hAnsi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Inter" w:hAnsi="Inter"/>
      <w:b/>
      <w:bCs/>
      <w:color w:val="0A0E1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Inter" w:hAnsi="Inter"/>
      <w:b/>
      <w:bCs/>
      <w:color w:val="0A0E1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Inter" w:hAnsi="Inter"/>
      <w:color w:val="0A0E1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/>
    </w:pPr>
    <w:rPr>
      <w:rFonts w:ascii="Inter" w:hAnsi="Inter"/>
      <w:sz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ozdnyakov.io" TargetMode="External"/><Relationship Id="rId2" Type="http://schemas.openxmlformats.org/officeDocument/2006/relationships/hyperlink" Target="mailto:sergey@pozdnyakov.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Ежемесячный отчёт по ИТ — рабочий шаблон</dc:title>
  <dc:subject>Внешнее управление ИТ-функцией</dc:subject>
  <dc:creator>Сергей Поздняков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